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субсидий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– 2025 годах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Гражданские инициативы Еврейской автономной области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/>
    </w:p>
    <w:p>
      <w:pPr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государственной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«Содействие развитию институтов и инициатив гражданского общества в Еврейской автономной области» на 2023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color w:val="000000"/>
          <w:sz w:val="28"/>
          <w:szCs w:val="28"/>
        </w:rPr>
        <w:t xml:space="preserve"> 2025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правительства Еврейской автономной области от 26.03.2023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137-пп, правительство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</w:t>
      </w:r>
      <w:r/>
    </w:p>
    <w:p>
      <w:pPr>
        <w:pStyle w:val="714"/>
        <w:numPr>
          <w:ilvl w:val="0"/>
          <w:numId w:val="4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субсидии в 2023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2025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годах за счет средств областного и федерального бюджетов ф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онду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Гражданские инициативы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организацию и проведение мероприятий по укреплению единства Российской нации и этнокультурному развитию народов России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14"/>
        <w:numPr>
          <w:ilvl w:val="0"/>
          <w:numId w:val="4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подписания.</w:t>
      </w:r>
      <w:r/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Р.Э</w:t>
      </w:r>
      <w:r>
        <w:rPr>
          <w:rFonts w:ascii="Times New Roman" w:hAnsi="Times New Roman"/>
          <w:sz w:val="28"/>
          <w:szCs w:val="28"/>
        </w:rPr>
        <w:t xml:space="preserve">. Гольдштейн</w:t>
      </w:r>
      <w:r/>
    </w:p>
    <w:p>
      <w:pPr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/>
    </w:p>
    <w:p>
      <w:pPr>
        <w:ind w:left="5529"/>
        <w:jc w:val="both"/>
        <w:spacing w:line="360" w:lineRule="auto"/>
        <w:widowControl/>
        <w:rPr>
          <w:rFonts w:ascii="Times New Roman" w:hAnsi="Times New Roman" w:cs="Times New Roman"/>
          <w:bCs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left="5529"/>
        <w:jc w:val="both"/>
        <w:spacing w:line="360" w:lineRule="auto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</w:t>
      </w:r>
      <w:r/>
    </w:p>
    <w:p>
      <w:pPr>
        <w:ind w:left="552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</w:t>
      </w:r>
      <w:r/>
    </w:p>
    <w:p>
      <w:pPr>
        <w:ind w:left="552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</w:t>
      </w:r>
      <w:r/>
    </w:p>
    <w:p>
      <w:pPr>
        <w:ind w:left="552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</w:t>
      </w:r>
      <w:r/>
    </w:p>
    <w:p>
      <w:pPr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в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2025 годах за счет средств областного </w:t>
      </w:r>
      <w:r/>
    </w:p>
    <w:p>
      <w:pPr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федерального бюджетов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онду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Гражданские инициативы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организацию и проведение мероприятий по укреплению единства Российской нации и этнокультурному развитию народов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p>
      <w:pPr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в 2023 – 2025 годах за счет средств областного и федерального бюджетов фонду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Гражданские инициативы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на организацию и проведение мероприятий по укреплению единства Российской нации и этнокультурному развитию народов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Порядок) определяет цели, условия и порядок предоставления за счет средств областного и федерального бюджетов ф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Гражданские инициативы Еврейской автономной области</w:t>
      </w:r>
      <w:r/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Фонд) субсидии на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организацию и проведение мероприятий по укреплению единства Российской нации и этнокультурному развитию народов России</w:t>
      </w:r>
      <w:r/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субсидия).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Фонду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ях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Укрепление гражданского единства и гармонизация межнациональных отношений на территории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институтов и инициатив гражданского общества в 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2025 годы, утвержденной постановлением правительства Еврейской автономной области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26.03.2023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137-пп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 организацию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мероприятий по укреплению единства Российской нации и этнокультурному развитию народов России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Субсиди</w:t>
      </w:r>
      <w:r>
        <w:rPr>
          <w:rFonts w:ascii="Times New Roman" w:hAnsi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Фонду а</w:t>
      </w:r>
      <w:r>
        <w:rPr>
          <w:rFonts w:ascii="Times New Roman" w:hAnsi="Times New Roman" w:cs="Times New Roman"/>
          <w:bCs/>
          <w:sz w:val="28"/>
          <w:szCs w:val="28"/>
        </w:rPr>
        <w:t xml:space="preserve">ппаратом губернатора и правительства Еврейской автономной области (далее – Аппарат), являющимся главным распорядителем средств областного бюджета,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сводной бюджетной росписью областного бюджета, кассовым планом исполнения областного бюджета в пределах лимитов бюджетных обязательств, утвержденных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субсиди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Еврейской автономной области об областном бюджете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очередной финансовый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 и на плановый период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(проекта закона Еврейской автономной области о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закон области об областном бюджете на текущий финансовый год и на плановый период)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при условии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соответствия Фонда требованиям, предусмотренным пунктом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Требования, которым должен соответствовать Фонд на первое число месяца, предшествующего месяцу, в котором подается заяв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заявление)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/>
    </w:p>
    <w:p>
      <w:pPr>
        <w:pStyle w:val="714"/>
        <w:numPr>
          <w:ilvl w:val="0"/>
          <w:numId w:val="15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Фонда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/>
    </w:p>
    <w:p>
      <w:pPr>
        <w:pStyle w:val="714"/>
        <w:numPr>
          <w:ilvl w:val="0"/>
          <w:numId w:val="15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Фонда должна отсутствовать просроченная задолженность по возврату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 субсидий, бюджетных инвестиций,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с иными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области, и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областью;</w:t>
      </w:r>
      <w:r/>
    </w:p>
    <w:p>
      <w:pPr>
        <w:pStyle w:val="714"/>
        <w:numPr>
          <w:ilvl w:val="0"/>
          <w:numId w:val="15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Фонд не должен находиться в процессе реорганизаци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  <w:r/>
    </w:p>
    <w:p>
      <w:pPr>
        <w:pStyle w:val="714"/>
        <w:numPr>
          <w:ilvl w:val="0"/>
          <w:numId w:val="15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Фонд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финансовых операций (офшорные зоны), в совокупности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превышает 50 процентов;</w:t>
      </w:r>
      <w:r/>
    </w:p>
    <w:p>
      <w:pPr>
        <w:pStyle w:val="714"/>
        <w:numPr>
          <w:ilvl w:val="0"/>
          <w:numId w:val="15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ичастности к распространению оружия массового уничтожения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pStyle w:val="714"/>
        <w:numPr>
          <w:ilvl w:val="0"/>
          <w:numId w:val="15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Фонд не получает средства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на основании иных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области на цели, установленные в пункте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  <w:r/>
    </w:p>
    <w:p>
      <w:pPr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Обязательными условиями предоставления субсидии являются согласие Фонда на осуществление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Аппаратом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уполномоченными органами государственного финансового контроля проверок соблюдения целей, условий и порядка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субсидии, предусмотренных настоящим Порядком, и запрет приобретения за счет полу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связанных с достижением целей предоставления субсидии иных операций, предусмотренных настоящим Порядком.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Субсидия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предос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тавляется на основании следующих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документов:</w:t>
      </w:r>
      <w:r/>
    </w:p>
    <w:p>
      <w:pPr>
        <w:pStyle w:val="714"/>
        <w:numPr>
          <w:ilvl w:val="0"/>
          <w:numId w:val="22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подтверждающ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соответствие Фонда требованиям, указанным в пункте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  <w:r/>
    </w:p>
    <w:p>
      <w:pPr>
        <w:pStyle w:val="714"/>
        <w:numPr>
          <w:ilvl w:val="0"/>
          <w:numId w:val="22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копии устава Фонда;</w:t>
      </w:r>
      <w:r/>
    </w:p>
    <w:p>
      <w:pPr>
        <w:pStyle w:val="714"/>
        <w:numPr>
          <w:ilvl w:val="0"/>
          <w:numId w:val="22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выписк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лиц, выданн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ранее чем за 30 календарных дней до дня подачи заяв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;</w:t>
      </w:r>
      <w:r/>
    </w:p>
    <w:p>
      <w:pPr>
        <w:pStyle w:val="714"/>
        <w:numPr>
          <w:ilvl w:val="0"/>
          <w:numId w:val="22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Фонда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соответствующий финансовый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Фонд представляет в Аппарат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предусмотренные подпунктами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«б», «г»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представляемые в копиях, должны быть заверены в установленном порядке. Если копии не заверены, они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представляются с приложением оригиналов и заверяются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специалистом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Аппарата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принимающим документы, после проверки их соответствия оригиналам.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Аппарат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не вправе требовать от Фонда представления документа, предусмотренного подпунктом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«в»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 Фонд вправе представить указанный документ в Аппарат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собственной инициативе.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Фонд не представил документ, предусмотренный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«в»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Аппарат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порядке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межведомственного взаимодействия запрашивает указанный документ в соответствующем государственном органе.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позднее 10 рабочих дн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ей после представления Фондом документов, указанных в пункте 7 настоящего Порядка, принимает решение о предоставлении субсидии либо об отказе в предоставлении субсидии, о чем уведомляет Фонд в течение 5 рабочих дней со дня принятия соответствующего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Основаниями для отказа Фонду в предоставлении Субсидии являются:</w:t>
      </w:r>
      <w:r/>
    </w:p>
    <w:p>
      <w:pPr>
        <w:pStyle w:val="714"/>
        <w:numPr>
          <w:ilvl w:val="0"/>
          <w:numId w:val="15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установление факта недостоверности представленной Фондом информации, содержащейся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документах, указанных в пункте 7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  <w:r/>
    </w:p>
    <w:p>
      <w:pPr>
        <w:pStyle w:val="714"/>
        <w:numPr>
          <w:ilvl w:val="0"/>
          <w:numId w:val="15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  <w:r/>
    </w:p>
    <w:p>
      <w:pPr>
        <w:pStyle w:val="714"/>
        <w:numPr>
          <w:ilvl w:val="0"/>
          <w:numId w:val="15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несоответствие Фонда требованиям, указанны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в пункте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устранения недостатков, послуживших принятию решения об отказе в предоставлении субсидии, Фонд вправе повторно обратиться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настоящим Порядком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Фонду Субсидии осуществляется на основании соглашения о предоставлении Субсидии, заключенного между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Фондом в соответствии с типовой формой, установленной Министерством финансов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уменьшения Аппарату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пункте 3 настоящего Порядка, приводящего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невозможности предоставления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убсидии в размере, определенном в Соглашении, в Соглашение включается условие о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согласовании новых условий Соглашения или о расторжении Соглашения при недостижении согласия по новым условиям.</w:t>
      </w:r>
      <w:r>
        <w:rPr>
          <w:highlight w:val="white"/>
        </w:rPr>
      </w:r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Результат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ом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предоставления Субсидии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является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организация и проведение мероприятий по укреплению единства Российской нации и этнокультурному развитию народов России. </w:t>
      </w:r>
      <w:r>
        <w:rPr>
          <w:highlight w:val="white"/>
        </w:rPr>
      </w:r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Показателем, необходимым для достижения результата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предоставления Субсидии, является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количество участников мероприятий, направленных на укрепление общероссийского гражданского единства народов России, проживающих на территории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Субсидия перечисляется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расчетный или корреспондентский счет,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открытый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Фондом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10 рабочих дней со дня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предоставлении Субсидии на очередной финансовый год на основании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Аппарат 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осуществляют обязательную проверку соблюдения Фондом условий, целей и порядка предоставления Субсидии, установленных настоящим Порядком и Соглашением.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Фонд несет ответственность за представление недостоверных сведений, а также нецелевое использование Субсидии в соответствии с законодательством Российской Федерации.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</w:t>
      </w:r>
      <w:r>
        <w:rPr>
          <w:rFonts w:ascii="Times New Roman" w:hAnsi="Times New Roman" w:cs="Times New Roman"/>
          <w:bCs/>
          <w:sz w:val="28"/>
          <w:szCs w:val="28"/>
        </w:rPr>
        <w:t xml:space="preserve">ффективность использования Фондом субсидии оценивается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исходя из достижения значений показателей результативности (результатов) использования субсидии по состоянию на 31 декабря года предоставления субсидии.</w:t>
      </w:r>
      <w:r/>
    </w:p>
    <w:p>
      <w:pPr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Фонд представляет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 о достижении значений показателей результативности (результатов) использования субсидии Фондом в целях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указанных в пункте 2 настоящего 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отчет о показателях результативности) в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срок до 15 января года,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следующего за годом предоставления субсидии, по форме,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предусмотренной Соглашением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и уточненный (скорректированный) отчет о показателях результативности в срок д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 30 марта года,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следующего за годом предоставления субсидии.</w:t>
      </w:r>
      <w:r>
        <w:rPr>
          <w:highlight w:val="white"/>
        </w:rPr>
      </w:r>
    </w:p>
    <w:p>
      <w:pPr>
        <w:ind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случае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недостижени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Фондом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значений показателей результативности (результатов)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использования субсидии, полученная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Субсиди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подлежит возврату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областной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порядке, установленном пунктом 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Порядка, в размере, рассчитанном по следующей формуле:</w:t>
      </w:r>
      <w:r/>
    </w:p>
    <w:p>
      <w:pPr>
        <w:pStyle w:val="714"/>
        <w:ind w:left="169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= (</w:t>
      </w:r>
      <w:r>
        <w:rPr>
          <w:rFonts w:ascii="Times New Roman" w:hAnsi="Times New Roman" w:cs="Times New Roman"/>
          <w:bCs/>
          <w:sz w:val="28"/>
          <w:szCs w:val="28"/>
        </w:rPr>
        <w:t xml:space="preserve">V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x k x m / n) x 0,1,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где: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размер субсидии, предоставленной Фонду в отчетном финансовом году;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количество показателей результативности (результатов) использования субсидии, по которым индекс, отражающий уровень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i-</w:t>
      </w:r>
      <w:r>
        <w:rPr>
          <w:rFonts w:ascii="Times New Roman" w:hAnsi="Times New Roman" w:cs="Times New Roman"/>
          <w:bCs/>
          <w:sz w:val="28"/>
          <w:szCs w:val="28"/>
        </w:rPr>
        <w:t xml:space="preserve"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имеет положительное значение;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общее количество показателей результативности (результатов) использования субсидии;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k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коэффициент возврата субсидии, который рассчитывается по следующей формуле: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k = SUM D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m,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индекс, отражающий уровень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i-</w:t>
      </w:r>
      <w:r>
        <w:rPr>
          <w:rFonts w:ascii="Times New Roman" w:hAnsi="Times New Roman" w:cs="Times New Roman"/>
          <w:bCs/>
          <w:sz w:val="28"/>
          <w:szCs w:val="28"/>
        </w:rPr>
        <w:t xml:space="preserve"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i-</w:t>
      </w:r>
      <w:r>
        <w:rPr>
          <w:rFonts w:ascii="Times New Roman" w:hAnsi="Times New Roman" w:cs="Times New Roman"/>
          <w:bCs/>
          <w:sz w:val="28"/>
          <w:szCs w:val="28"/>
        </w:rPr>
        <w:t xml:space="preserve"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Индекс, отражающий уровень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i-</w:t>
      </w:r>
      <w:r>
        <w:rPr>
          <w:rFonts w:ascii="Times New Roman" w:hAnsi="Times New Roman" w:cs="Times New Roman"/>
          <w:bCs/>
          <w:sz w:val="28"/>
          <w:szCs w:val="28"/>
        </w:rPr>
        <w:t xml:space="preserve"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определяется: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для показателей результативности (результатов)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r>
        <w:rPr>
          <w:rFonts w:ascii="Times New Roman" w:hAnsi="Times New Roman" w:cs="Times New Roman"/>
          <w:bCs/>
          <w:sz w:val="28"/>
          <w:szCs w:val="28"/>
        </w:rPr>
        <w:t xml:space="preserve">T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sz w:val="28"/>
          <w:szCs w:val="28"/>
        </w:rPr>
        <w:t xml:space="preserve">S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где: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фактически достигнутое значение i-</w:t>
      </w:r>
      <w:r>
        <w:rPr>
          <w:rFonts w:ascii="Times New Roman" w:hAnsi="Times New Roman" w:cs="Times New Roman"/>
          <w:bCs/>
          <w:sz w:val="28"/>
          <w:szCs w:val="28"/>
        </w:rPr>
        <w:t xml:space="preserve"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 на отчетную дату;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плановое значение i-</w:t>
      </w:r>
      <w:r>
        <w:rPr>
          <w:rFonts w:ascii="Times New Roman" w:hAnsi="Times New Roman" w:cs="Times New Roman"/>
          <w:bCs/>
          <w:sz w:val="28"/>
          <w:szCs w:val="28"/>
        </w:rPr>
        <w:t xml:space="preserve"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показателя результативности (результата) использования субсидии, установленное соглашением;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для показателей результативности (результатов)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= 1 - </w:t>
      </w:r>
      <w:r>
        <w:rPr>
          <w:rFonts w:ascii="Times New Roman" w:hAnsi="Times New Roman" w:cs="Times New Roman"/>
          <w:bCs/>
          <w:sz w:val="28"/>
          <w:szCs w:val="28"/>
        </w:rPr>
        <w:t xml:space="preserve">S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sz w:val="28"/>
          <w:szCs w:val="28"/>
        </w:rPr>
        <w:t xml:space="preserve">T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расчете объема средств, подлежащих возврату, в размере субсидии, предоставленной Фонду в отчетном финансовом году (</w:t>
      </w:r>
      <w:r>
        <w:rPr>
          <w:rFonts w:ascii="Times New Roman" w:hAnsi="Times New Roman" w:cs="Times New Roman"/>
          <w:bCs/>
          <w:sz w:val="28"/>
          <w:szCs w:val="28"/>
        </w:rPr>
        <w:t xml:space="preserve">V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), не учитывается размер остатка субсидии, не использованного по состоянию на 1 января текущего финансового года.</w:t>
      </w:r>
      <w:r/>
    </w:p>
    <w:p>
      <w:pPr>
        <w:pStyle w:val="714"/>
        <w:numPr>
          <w:ilvl w:val="0"/>
          <w:numId w:val="14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 нарушении Фондом целей, условий, и порядка предоставления Субсидии, выявленн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Аппаратом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уполномоченны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финансового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Фонд обязан осуществить возврат субсидии в областной бюджет.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Требование о возврате субсидии в областной бюджет (далее - требование) направляется Фонду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течение пяти рабочих дней со дня установления нарушения.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Возврат субсидии производится Фондом в течение пяти рабочих дней со дня получения требования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реквизитам и коду классификации доходов бюджетов Российской Федерации, указанным в требовании.</w:t>
      </w:r>
      <w:r/>
    </w:p>
    <w:p>
      <w:pPr>
        <w:pStyle w:val="714"/>
        <w:ind w:left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p>
      <w:p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/>
      <w:r/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09236285"/>
      <w:docPartObj>
        <w:docPartGallery w:val="Page Numbers (Top of Page)"/>
        <w:docPartUnique w:val="true"/>
      </w:docPartObj>
      <w:rPr/>
    </w:sdtPr>
    <w:sdtContent>
      <w:p>
        <w:pPr>
          <w:pStyle w:val="717"/>
          <w:jc w:val="center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 xml:space="preserve">PAGE   \* MERGEFORMAT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sz w:val="22"/>
            <w:szCs w:val="22"/>
          </w:rPr>
          <w:t xml:space="preserve">3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  <w:r/>
      </w:p>
    </w:sdtContent>
  </w:sdt>
  <w:p>
    <w:pPr>
      <w:pStyle w:val="7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149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509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86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69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29" w:hanging="2160"/>
      </w:pPr>
      <w:rPr>
        <w:rFonts w:hint="default"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20"/>
  </w:num>
  <w:num w:numId="6">
    <w:abstractNumId w:val="15"/>
  </w:num>
  <w:num w:numId="7">
    <w:abstractNumId w:val="13"/>
  </w:num>
  <w:num w:numId="8">
    <w:abstractNumId w:val="6"/>
  </w:num>
  <w:num w:numId="9">
    <w:abstractNumId w:val="19"/>
  </w:num>
  <w:num w:numId="10">
    <w:abstractNumId w:val="9"/>
  </w:num>
  <w:num w:numId="11">
    <w:abstractNumId w:val="0"/>
  </w:num>
  <w:num w:numId="12">
    <w:abstractNumId w:val="22"/>
  </w:num>
  <w:num w:numId="13">
    <w:abstractNumId w:val="23"/>
  </w:num>
  <w:num w:numId="14">
    <w:abstractNumId w:val="25"/>
  </w:num>
  <w:num w:numId="15">
    <w:abstractNumId w:val="4"/>
  </w:num>
  <w:num w:numId="16">
    <w:abstractNumId w:val="24"/>
  </w:num>
  <w:num w:numId="17">
    <w:abstractNumId w:val="16"/>
  </w:num>
  <w:num w:numId="18">
    <w:abstractNumId w:val="21"/>
  </w:num>
  <w:num w:numId="19">
    <w:abstractNumId w:val="17"/>
  </w:num>
  <w:num w:numId="20">
    <w:abstractNumId w:val="8"/>
  </w:num>
  <w:num w:numId="21">
    <w:abstractNumId w:val="1"/>
  </w:num>
  <w:num w:numId="22">
    <w:abstractNumId w:val="12"/>
  </w:num>
  <w:num w:numId="23">
    <w:abstractNumId w:val="7"/>
  </w:num>
  <w:num w:numId="24">
    <w:abstractNumId w:val="5"/>
  </w:num>
  <w:num w:numId="25">
    <w:abstractNumId w:val="18"/>
  </w:num>
  <w:num w:numId="26">
    <w:abstractNumId w:val="14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0"/>
    <w:next w:val="71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0"/>
    <w:next w:val="71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0"/>
    <w:next w:val="71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0"/>
    <w:next w:val="71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0"/>
    <w:next w:val="71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0"/>
    <w:next w:val="71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0"/>
    <w:next w:val="71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0"/>
    <w:next w:val="71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0"/>
    <w:next w:val="71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0"/>
    <w:next w:val="71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1"/>
    <w:link w:val="33"/>
    <w:uiPriority w:val="10"/>
    <w:rPr>
      <w:sz w:val="48"/>
      <w:szCs w:val="48"/>
    </w:rPr>
  </w:style>
  <w:style w:type="paragraph" w:styleId="35">
    <w:name w:val="Subtitle"/>
    <w:basedOn w:val="710"/>
    <w:next w:val="71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1"/>
    <w:link w:val="35"/>
    <w:uiPriority w:val="11"/>
    <w:rPr>
      <w:sz w:val="24"/>
      <w:szCs w:val="24"/>
    </w:rPr>
  </w:style>
  <w:style w:type="paragraph" w:styleId="37">
    <w:name w:val="Quote"/>
    <w:basedOn w:val="710"/>
    <w:next w:val="71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0"/>
    <w:next w:val="71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1"/>
    <w:link w:val="717"/>
    <w:uiPriority w:val="99"/>
  </w:style>
  <w:style w:type="character" w:styleId="44">
    <w:name w:val="Footer Char"/>
    <w:basedOn w:val="711"/>
    <w:link w:val="719"/>
    <w:uiPriority w:val="99"/>
  </w:style>
  <w:style w:type="paragraph" w:styleId="45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9"/>
    <w:uiPriority w:val="99"/>
  </w:style>
  <w:style w:type="table" w:styleId="47">
    <w:name w:val="Table Grid"/>
    <w:basedOn w:val="7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71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0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qFormat/>
    <w:pPr>
      <w:jc w:val="left"/>
      <w:widowControl w:val="off"/>
    </w:pPr>
    <w:rPr>
      <w:rFonts w:ascii="Arial" w:hAnsi="Arial" w:cs="Arial"/>
      <w:sz w:val="18"/>
      <w:szCs w:val="18"/>
      <w:lang w:eastAsia="ru-RU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10"/>
    <w:uiPriority w:val="34"/>
    <w:qFormat/>
    <w:pPr>
      <w:contextualSpacing/>
      <w:ind w:left="720"/>
    </w:pPr>
  </w:style>
  <w:style w:type="paragraph" w:styleId="715" w:customStyle="1">
    <w:name w:val="ConsPlusNormal"/>
    <w:pPr>
      <w:jc w:val="left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716" w:customStyle="1">
    <w:name w:val="ConsPlusTitle"/>
    <w:uiPriority w:val="99"/>
    <w:pPr>
      <w:jc w:val="left"/>
      <w:widowControl w:val="off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paragraph" w:styleId="717">
    <w:name w:val="Header"/>
    <w:basedOn w:val="710"/>
    <w:link w:val="71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8" w:customStyle="1">
    <w:name w:val="Верхний колонтитул Знак"/>
    <w:basedOn w:val="711"/>
    <w:link w:val="717"/>
    <w:uiPriority w:val="99"/>
    <w:rPr>
      <w:rFonts w:ascii="Arial" w:hAnsi="Arial" w:cs="Arial"/>
      <w:sz w:val="18"/>
      <w:szCs w:val="18"/>
      <w:lang w:eastAsia="ru-RU"/>
    </w:rPr>
  </w:style>
  <w:style w:type="paragraph" w:styleId="719">
    <w:name w:val="Footer"/>
    <w:basedOn w:val="710"/>
    <w:link w:val="7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Нижний колонтитул Знак"/>
    <w:basedOn w:val="711"/>
    <w:link w:val="719"/>
    <w:uiPriority w:val="99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Правительство ЕАО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revision>28</cp:revision>
  <dcterms:created xsi:type="dcterms:W3CDTF">2021-03-25T00:57:00Z</dcterms:created>
  <dcterms:modified xsi:type="dcterms:W3CDTF">2023-07-06T04:58:03Z</dcterms:modified>
</cp:coreProperties>
</file>